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Lines w:val="0"/>
        <w:widowControl w:val="0"/>
        <w:spacing w:after="0" w:line="240" w:lineRule="auto"/>
        <w:jc w:val="center"/>
        <w:rPr>
          <w:rFonts w:ascii="Tahoma" w:cs="Tahoma" w:eastAsia="Tahoma" w:hAnsi="Tahoma"/>
          <w:b w:val="1"/>
          <w:bCs w:val="1"/>
          <w:sz w:val="20"/>
          <w:szCs w:val="20"/>
        </w:rPr>
      </w:pPr>
      <w:bookmarkStart w:colFirst="0" w:colLast="0" w:name="_heading=h.o2jtblf7ql7v" w:id="0"/>
      <w:bookmarkEnd w:id="0"/>
      <w:r w:rsidDel="00000000" w:rsidR="00000000" w:rsidRPr="00000000">
        <w:rPr>
          <w:rFonts w:ascii="Tahoma" w:cs="Tahoma" w:eastAsia="Tahoma" w:hAnsi="Tahoma"/>
          <w:b w:val="1"/>
          <w:bCs w:val="1"/>
          <w:sz w:val="20"/>
          <w:szCs w:val="20"/>
          <w:rtl w:val="0"/>
        </w:rPr>
        <w:t xml:space="preserve">OŚWIADCZENIE O ZACHOWANIU POUFNOŚCI</w:t>
      </w:r>
    </w:p>
    <w:p w:rsidR="00000000" w:rsidDel="00000000" w:rsidP="00000000" w:rsidRDefault="00000000" w:rsidRPr="00000000" w14:paraId="00000002">
      <w:pPr>
        <w:keepLines w:val="0"/>
        <w:widowControl w:val="0"/>
        <w:spacing w:after="0" w:line="240" w:lineRule="auto"/>
        <w:ind w:right="-277.7952755905511"/>
        <w:jc w:val="center"/>
        <w:rPr>
          <w:rFonts w:ascii="Tahoma" w:cs="Tahoma" w:eastAsia="Tahoma" w:hAnsi="Tahom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ind w:right="-277.7952755905511"/>
        <w:jc w:val="left"/>
        <w:rPr>
          <w:rFonts w:ascii="Tahoma" w:cs="Tahoma" w:eastAsia="Tahoma" w:hAnsi="Tahom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76" w:lineRule="auto"/>
        <w:ind w:right="-277.7952755905511"/>
        <w:jc w:val="left"/>
        <w:rPr>
          <w:rFonts w:ascii="Tahoma" w:cs="Tahoma" w:eastAsia="Tahoma" w:hAnsi="Tahom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Niniejszym działając w imieniu:</w:t>
      </w:r>
    </w:p>
    <w:p w:rsidR="00000000" w:rsidDel="00000000" w:rsidP="00000000" w:rsidRDefault="00000000" w:rsidRPr="00000000" w14:paraId="00000006">
      <w:pPr>
        <w:jc w:val="both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___________________, z siedzibą w ___________________ przy ___________________, nr KRS ___________________, nr NIP ___________________, reprezentowaną przez:</w:t>
      </w:r>
    </w:p>
    <w:p w:rsidR="00000000" w:rsidDel="00000000" w:rsidP="00000000" w:rsidRDefault="00000000" w:rsidRPr="00000000" w14:paraId="00000007">
      <w:pPr>
        <w:jc w:val="both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zwanej w treści niniejszego Oświadczenia </w:t>
      </w:r>
      <w:r w:rsidDel="00000000" w:rsidR="00000000" w:rsidRPr="00000000">
        <w:rPr>
          <w:rFonts w:ascii="Tahoma" w:cs="Tahoma" w:eastAsia="Tahoma" w:hAnsi="Tahoma"/>
          <w:b w:val="1"/>
          <w:bCs w:val="1"/>
          <w:sz w:val="20"/>
          <w:szCs w:val="20"/>
          <w:rtl w:val="0"/>
        </w:rPr>
        <w:t xml:space="preserve">„Dostawcą”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będąc zainteresowanym udziałem w organizowanym – przez Veolia Energia Łódź S.A. z siedzibą w Łodzi, ul. J. Andrzejewskiej  5, 92-550 Łódź, zarejestrowaną w rejestrze przedsiębiorców prowadzonym przez Sąd Rejonowy dla Łodzi Śródmieścia w Łodzi, XX Wydział Gospodarczy Krajowego Rejestru Sądowego pod numerem KRS 0000041013, BDO 000064380, NIP 728-00-18-564, o kapitale zakładowym 150 000 000,00 PLN, opłaconym w całości, zwaną dalej „</w:t>
      </w:r>
      <w:r w:rsidDel="00000000" w:rsidR="00000000" w:rsidRPr="00000000">
        <w:rPr>
          <w:rFonts w:ascii="Tahoma" w:cs="Tahoma" w:eastAsia="Tahoma" w:hAnsi="Tahoma"/>
          <w:b w:val="1"/>
          <w:bCs w:val="1"/>
          <w:sz w:val="20"/>
          <w:szCs w:val="20"/>
          <w:rtl w:val="0"/>
        </w:rPr>
        <w:t xml:space="preserve">Spółką”</w:t>
      </w: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 – postępowaniu zakupowym w przedmiocie “Modernizacja, remont, serwis zaworów bezpieczeństwa oraz armatury wysokoprężnej w EC3 i EC4 w latach 2026-2029”</w:t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niniejszym oświadczamy i zobowiązujemy się do zachowania poufności, zgodnie z zasadami określonymi poniżej:</w:t>
      </w:r>
    </w:p>
    <w:p w:rsidR="00000000" w:rsidDel="00000000" w:rsidP="00000000" w:rsidRDefault="00000000" w:rsidRPr="00000000" w14:paraId="0000000B">
      <w:pPr>
        <w:spacing w:after="0" w:line="276" w:lineRule="auto"/>
        <w:ind w:right="-277.7952755905511"/>
        <w:jc w:val="left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  <w:sz w:val="20"/>
          <w:szCs w:val="20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0"/>
          <w:szCs w:val="20"/>
          <w:rtl w:val="0"/>
        </w:rPr>
        <w:t xml:space="preserve">§ 1</w:t>
      </w:r>
    </w:p>
    <w:p w:rsidR="00000000" w:rsidDel="00000000" w:rsidP="00000000" w:rsidRDefault="00000000" w:rsidRPr="00000000" w14:paraId="0000000D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  <w:sz w:val="20"/>
          <w:szCs w:val="20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0"/>
          <w:szCs w:val="20"/>
          <w:rtl w:val="0"/>
        </w:rPr>
        <w:t xml:space="preserve">Definicje</w:t>
      </w:r>
    </w:p>
    <w:p w:rsidR="00000000" w:rsidDel="00000000" w:rsidP="00000000" w:rsidRDefault="00000000" w:rsidRPr="00000000" w14:paraId="0000000E">
      <w:pPr>
        <w:spacing w:after="0" w:line="276" w:lineRule="auto"/>
        <w:ind w:right="-277.7952755905511"/>
        <w:jc w:val="center"/>
        <w:rPr>
          <w:rFonts w:ascii="Tahoma" w:cs="Tahoma" w:eastAsia="Tahoma" w:hAnsi="Tahom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Rule="auto"/>
        <w:ind w:left="0" w:firstLine="0"/>
        <w:jc w:val="both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W niniejszym Oświadczeniu podane poniżej wyrażenia, zaczynające się wielkimi literami, otrzymały następujące znaczenie: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20" w:lineRule="auto"/>
        <w:ind w:left="720" w:hanging="360"/>
        <w:jc w:val="both"/>
        <w:rPr>
          <w:rFonts w:ascii="Tahoma" w:cs="Tahoma" w:eastAsia="Tahoma" w:hAnsi="Tahoma"/>
          <w:sz w:val="20"/>
          <w:szCs w:val="20"/>
          <w:u w:val="none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0"/>
          <w:szCs w:val="20"/>
          <w:rtl w:val="0"/>
        </w:rPr>
        <w:t xml:space="preserve">Postępowanie</w:t>
      </w: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 - oznacza prowadzone przez Spółkę postępowanie zakupowe w przedmiocie “Modernizacja, remont, serwis zaworów bezpieczeństwa oraz armatury wysokoprężnej w EC3 i EC4 w latach 2026-2029”;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before="0" w:lineRule="auto"/>
        <w:ind w:left="720" w:hanging="360"/>
        <w:jc w:val="both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0"/>
          <w:szCs w:val="20"/>
          <w:rtl w:val="0"/>
        </w:rPr>
        <w:t xml:space="preserve">Informacje Poufne</w:t>
      </w: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 - oznaczają wszelkie, niepodane uprzednio przez Spółkę do publicznej wiadomości, informacje lub dane ujawnione w trakcie Postępowania, a w szczególności te dotyczące Spółki lub jej spółek powiązanych, w których posiadanie wszedł Dostawca podczas lub przy okazji udziału w Postępowaniu, bez względu na formę ich utrwalenia lub przekazania, w tym choćby nie były one oznaczone jako poufne w żaden sposób lub choćby przekazane były w formie ustnej, a w szczególności: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before="0" w:lineRule="auto"/>
        <w:ind w:left="1440" w:hanging="360"/>
        <w:jc w:val="both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wszelkie dane i informacje ekonomiczne, prawne, finansowe, organizacyjne, techniczne lub technologiczne dotyczące Spółki lub jej spółek powiązanych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120" w:before="0" w:lineRule="auto"/>
        <w:ind w:left="1440" w:hanging="360"/>
        <w:jc w:val="both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istnienie, treść, charakter, postęp i przebieg Postepowania, jak również zaangażowanie weń jakichkolwiek podmiotów, w tym fakt prowadzenia rozmów między Dostawcą i Spółką.</w:t>
      </w:r>
    </w:p>
    <w:p w:rsidR="00000000" w:rsidDel="00000000" w:rsidP="00000000" w:rsidRDefault="00000000" w:rsidRPr="00000000" w14:paraId="00000014">
      <w:pPr>
        <w:spacing w:after="120" w:before="120" w:lineRule="auto"/>
        <w:ind w:left="720" w:firstLine="0"/>
        <w:jc w:val="both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Informacje powyższe stanowią tajemnicę przedsiębiorstwa Spółki w rozumieniu art. 11 ust. 2 ustawy z dnia 16 kwietnia 1993 r. o zwalczaniu nieuczciwej konkurencji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120" w:before="120" w:lineRule="auto"/>
        <w:ind w:left="720" w:hanging="360"/>
        <w:jc w:val="both"/>
        <w:rPr>
          <w:rFonts w:ascii="Tahoma" w:cs="Tahoma" w:eastAsia="Tahoma" w:hAnsi="Tahoma"/>
          <w:sz w:val="20"/>
          <w:szCs w:val="20"/>
          <w:u w:val="none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0"/>
          <w:szCs w:val="20"/>
          <w:rtl w:val="0"/>
        </w:rPr>
        <w:t xml:space="preserve">Oświadczenie</w:t>
      </w: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 - niniejsze oświadczenie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  <w:sz w:val="20"/>
          <w:szCs w:val="20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0"/>
          <w:szCs w:val="20"/>
          <w:rtl w:val="0"/>
        </w:rPr>
        <w:t xml:space="preserve">§ 2</w:t>
      </w:r>
    </w:p>
    <w:p w:rsidR="00000000" w:rsidDel="00000000" w:rsidP="00000000" w:rsidRDefault="00000000" w:rsidRPr="00000000" w14:paraId="00000017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  <w:sz w:val="20"/>
          <w:szCs w:val="20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0"/>
          <w:szCs w:val="20"/>
          <w:rtl w:val="0"/>
        </w:rPr>
        <w:t xml:space="preserve">Przedmiot Oświadczenia</w:t>
      </w:r>
    </w:p>
    <w:p w:rsidR="00000000" w:rsidDel="00000000" w:rsidP="00000000" w:rsidRDefault="00000000" w:rsidRPr="00000000" w14:paraId="00000018">
      <w:pPr>
        <w:widowControl w:val="0"/>
        <w:spacing w:after="0" w:line="240" w:lineRule="auto"/>
        <w:ind w:right="-277.7952755905511"/>
        <w:jc w:val="center"/>
        <w:rPr>
          <w:rFonts w:ascii="Tahoma" w:cs="Tahoma" w:eastAsia="Tahoma" w:hAnsi="Tahom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ind w:left="0" w:firstLine="0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Niniejsze Oświadczenie reguluje nasze zobowiązania względem Spółki w zakresie przechowywania Informacji Poufnych oraz ich ochrony przed ujawnieniem, jak również naszą odpowiedzialność wobec Spółki za niewykonanie lub nienależyte wykonanie tych zobowiązań.</w:t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ahoma" w:cs="Tahoma" w:eastAsia="Tahoma" w:hAnsi="Tahom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Tahoma" w:cs="Tahoma" w:eastAsia="Tahoma" w:hAnsi="Tahom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  <w:sz w:val="20"/>
          <w:szCs w:val="20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0"/>
          <w:szCs w:val="20"/>
          <w:rtl w:val="0"/>
        </w:rPr>
        <w:t xml:space="preserve">§ 3</w:t>
      </w:r>
    </w:p>
    <w:p w:rsidR="00000000" w:rsidDel="00000000" w:rsidP="00000000" w:rsidRDefault="00000000" w:rsidRPr="00000000" w14:paraId="0000001D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  <w:sz w:val="20"/>
          <w:szCs w:val="20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0"/>
          <w:szCs w:val="20"/>
          <w:rtl w:val="0"/>
        </w:rPr>
        <w:t xml:space="preserve">Przechowywanie i ochrona przed ujawnieniem</w:t>
      </w:r>
    </w:p>
    <w:p w:rsidR="00000000" w:rsidDel="00000000" w:rsidP="00000000" w:rsidRDefault="00000000" w:rsidRPr="00000000" w14:paraId="0000001E">
      <w:pPr>
        <w:widowControl w:val="0"/>
        <w:spacing w:after="0" w:line="240" w:lineRule="auto"/>
        <w:ind w:right="-277.7952755905511"/>
        <w:jc w:val="center"/>
        <w:rPr>
          <w:rFonts w:ascii="Tahoma" w:cs="Tahoma" w:eastAsia="Tahoma" w:hAnsi="Tahom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1"/>
        <w:ind w:left="0" w:firstLine="0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Niniejszym zobowiązujemy się:</w:t>
      </w:r>
    </w:p>
    <w:p w:rsidR="00000000" w:rsidDel="00000000" w:rsidP="00000000" w:rsidRDefault="00000000" w:rsidRPr="00000000" w14:paraId="00000020">
      <w:pPr>
        <w:keepNext w:val="1"/>
        <w:numPr>
          <w:ilvl w:val="0"/>
          <w:numId w:val="3"/>
        </w:numPr>
        <w:spacing w:after="0" w:lineRule="auto"/>
        <w:ind w:left="720" w:hanging="360"/>
        <w:rPr>
          <w:rFonts w:ascii="Tahoma" w:cs="Tahoma" w:eastAsia="Tahoma" w:hAnsi="Tahoma"/>
          <w:sz w:val="20"/>
          <w:szCs w:val="20"/>
          <w:u w:val="none"/>
        </w:rPr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przechowywać Informacje Poufne i chronić je przed ujawnieniem jakiejkolwiek osobie trzeciej przy dołożeniu najwyższej staranności, z uwzględnieniem zawodowego charakteru prowadzonej przez nas działalności oraz dostępnych narzędzi i technologii, przy czym w żadnym razie z nie mniejszą starannością niż dokładamy przechowując i chroniąc przed ujawnieniem własne informacje o podobnym charakterze oraz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1"/>
        <w:numPr>
          <w:ilvl w:val="0"/>
          <w:numId w:val="3"/>
        </w:numPr>
        <w:ind w:left="720" w:hanging="360"/>
        <w:rPr>
          <w:rFonts w:ascii="Tahoma" w:cs="Tahoma" w:eastAsia="Tahoma" w:hAnsi="Tahoma"/>
          <w:sz w:val="20"/>
          <w:szCs w:val="20"/>
          <w:u w:val="none"/>
        </w:rPr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wykorzystywać Informacje Poufne wyłącznie dla celów Postępowania.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  <w:sz w:val="20"/>
          <w:szCs w:val="20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0"/>
          <w:szCs w:val="20"/>
          <w:rtl w:val="0"/>
        </w:rPr>
        <w:t xml:space="preserve">§ 4</w:t>
      </w:r>
    </w:p>
    <w:p w:rsidR="00000000" w:rsidDel="00000000" w:rsidP="00000000" w:rsidRDefault="00000000" w:rsidRPr="00000000" w14:paraId="00000023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  <w:sz w:val="20"/>
          <w:szCs w:val="20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0"/>
          <w:szCs w:val="20"/>
          <w:rtl w:val="0"/>
        </w:rPr>
        <w:t xml:space="preserve">Wyjątki</w:t>
      </w:r>
    </w:p>
    <w:p w:rsidR="00000000" w:rsidDel="00000000" w:rsidP="00000000" w:rsidRDefault="00000000" w:rsidRPr="00000000" w14:paraId="00000024">
      <w:pPr>
        <w:widowControl w:val="0"/>
        <w:spacing w:after="0" w:line="240" w:lineRule="auto"/>
        <w:ind w:right="-277.7952755905511"/>
        <w:jc w:val="center"/>
        <w:rPr>
          <w:rFonts w:ascii="Tahoma" w:cs="Tahoma" w:eastAsia="Tahoma" w:hAnsi="Tahom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after="0" w:line="240" w:lineRule="auto"/>
        <w:ind w:right="-277.7952755905511"/>
        <w:jc w:val="both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Oświadczamy, i przyjmujemy do wiadomości, że nie będą przez Strony traktowane jako Informacje Poufne dane lub informacje, które:</w:t>
      </w:r>
    </w:p>
    <w:p w:rsidR="00000000" w:rsidDel="00000000" w:rsidP="00000000" w:rsidRDefault="00000000" w:rsidRPr="00000000" w14:paraId="00000026">
      <w:pPr>
        <w:widowControl w:val="0"/>
        <w:spacing w:after="0" w:line="240" w:lineRule="auto"/>
        <w:ind w:right="-277.7952755905511"/>
        <w:jc w:val="both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numPr>
          <w:ilvl w:val="0"/>
          <w:numId w:val="4"/>
        </w:numPr>
        <w:spacing w:after="0" w:line="240" w:lineRule="auto"/>
        <w:ind w:left="720" w:right="-277.7952755905511" w:hanging="360"/>
        <w:jc w:val="both"/>
        <w:rPr>
          <w:rFonts w:ascii="Tahoma" w:cs="Tahoma" w:eastAsia="Tahoma" w:hAnsi="Tahoma"/>
          <w:sz w:val="20"/>
          <w:szCs w:val="20"/>
          <w:u w:val="none"/>
        </w:rPr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były w naszym posiadaniu bez obowiązku zachowania ich poufności,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numPr>
          <w:ilvl w:val="0"/>
          <w:numId w:val="4"/>
        </w:numPr>
        <w:spacing w:after="0" w:line="240" w:lineRule="auto"/>
        <w:ind w:left="720" w:right="-277.7952755905511" w:hanging="360"/>
        <w:jc w:val="both"/>
        <w:rPr>
          <w:rFonts w:ascii="Tahoma" w:cs="Tahoma" w:eastAsia="Tahoma" w:hAnsi="Tahoma"/>
          <w:sz w:val="20"/>
          <w:szCs w:val="20"/>
          <w:u w:val="none"/>
        </w:rPr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zostały przez nas opracowane w sposób niezależny,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4"/>
        </w:numPr>
        <w:spacing w:after="0" w:line="240" w:lineRule="auto"/>
        <w:ind w:left="720" w:right="-277.7952755905511" w:hanging="360"/>
        <w:jc w:val="both"/>
        <w:rPr>
          <w:rFonts w:ascii="Tahoma" w:cs="Tahoma" w:eastAsia="Tahoma" w:hAnsi="Tahoma"/>
          <w:sz w:val="20"/>
          <w:szCs w:val="20"/>
          <w:u w:val="none"/>
        </w:rPr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zostały przez nas uzyskane ze źródeł innych niż Spółka bez obowiązku zachowania ich w poufności,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4"/>
        </w:numPr>
        <w:spacing w:after="0" w:line="240" w:lineRule="auto"/>
        <w:ind w:left="720" w:right="-277.7952755905511" w:hanging="360"/>
        <w:jc w:val="both"/>
        <w:rPr>
          <w:rFonts w:ascii="Tahoma" w:cs="Tahoma" w:eastAsia="Tahoma" w:hAnsi="Tahoma"/>
          <w:sz w:val="20"/>
          <w:szCs w:val="20"/>
          <w:u w:val="none"/>
        </w:rPr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są dostępne publicznie w momencie otrzymania, albo następnie stały się informacjami dostępnymi publicznie po ich ujawnieniu, jednakże bez naruszenia przez nas postanowień niniejszego Oświadczenia.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after="0" w:line="240" w:lineRule="auto"/>
        <w:ind w:right="-277.7952755905511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  <w:sz w:val="20"/>
          <w:szCs w:val="20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0"/>
          <w:szCs w:val="20"/>
          <w:rtl w:val="0"/>
        </w:rPr>
        <w:t xml:space="preserve">§ 5</w:t>
      </w:r>
    </w:p>
    <w:p w:rsidR="00000000" w:rsidDel="00000000" w:rsidP="00000000" w:rsidRDefault="00000000" w:rsidRPr="00000000" w14:paraId="0000002D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rtl w:val="0"/>
        </w:rPr>
        <w:t xml:space="preserve">Odpowiedzialność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after="0" w:line="240" w:lineRule="auto"/>
        <w:ind w:right="-277.7952755905511"/>
        <w:jc w:val="center"/>
        <w:rPr>
          <w:rFonts w:ascii="Tahoma" w:cs="Tahoma" w:eastAsia="Tahoma" w:hAnsi="Tahom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spacing w:after="0" w:line="240" w:lineRule="auto"/>
        <w:ind w:right="-277.7952755905511"/>
        <w:jc w:val="both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spacing w:after="0" w:line="240" w:lineRule="auto"/>
        <w:ind w:right="-277.7952755905511"/>
        <w:jc w:val="both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W przypadku naruszenia któregokolwiek z obowiązków lub zakazów określonych w Oświadczeniu zapłacimy na rzecz Spółki kwotę 50 000 PLN (pięćdziesiąt tysięcy PLN) za każde ujawnione naruszenie tytułem kary umownej.</w:t>
        <w:tab/>
        <w:t xml:space="preserve">Zapłata kary umownej nie pozbawia Spółki prawa do dochodzenia odszkodowania na zasadach ogólnych.</w:t>
      </w:r>
    </w:p>
    <w:p w:rsidR="00000000" w:rsidDel="00000000" w:rsidP="00000000" w:rsidRDefault="00000000" w:rsidRPr="00000000" w14:paraId="00000031">
      <w:pPr>
        <w:widowControl w:val="0"/>
        <w:spacing w:after="0" w:line="240" w:lineRule="auto"/>
        <w:ind w:right="-277.7952755905511"/>
        <w:jc w:val="both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spacing w:after="0" w:line="240" w:lineRule="auto"/>
        <w:ind w:right="-277.7952755905511"/>
        <w:jc w:val="both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spacing w:after="0" w:line="240" w:lineRule="auto"/>
        <w:ind w:right="-277.7952755905511"/>
        <w:jc w:val="both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spacing w:after="0" w:line="240" w:lineRule="auto"/>
        <w:ind w:right="-277.7952755905511"/>
        <w:jc w:val="both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after="0" w:line="240" w:lineRule="auto"/>
        <w:ind w:right="-277.7952755905511"/>
        <w:jc w:val="both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spacing w:after="0" w:line="240" w:lineRule="auto"/>
        <w:ind w:right="-277.7952755905511"/>
        <w:jc w:val="both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spacing w:after="0" w:line="240" w:lineRule="auto"/>
        <w:ind w:right="-277.7952755905511"/>
        <w:jc w:val="center"/>
        <w:rPr>
          <w:rFonts w:ascii="Tahoma" w:cs="Tahoma" w:eastAsia="Tahoma" w:hAnsi="Tahom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firstLine="708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Miejscowość i data: ________________, ________________ roku</w:t>
      </w:r>
    </w:p>
    <w:p w:rsidR="00000000" w:rsidDel="00000000" w:rsidP="00000000" w:rsidRDefault="00000000" w:rsidRPr="00000000" w14:paraId="00000039">
      <w:pPr>
        <w:ind w:left="0" w:firstLine="0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firstLine="708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W imieniu Dostawcy:</w:t>
      </w:r>
    </w:p>
    <w:p w:rsidR="00000000" w:rsidDel="00000000" w:rsidP="00000000" w:rsidRDefault="00000000" w:rsidRPr="00000000" w14:paraId="0000003B">
      <w:pPr>
        <w:ind w:left="0" w:firstLine="0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firstLine="708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………………………………………</w:t>
      </w:r>
    </w:p>
    <w:p w:rsidR="00000000" w:rsidDel="00000000" w:rsidP="00000000" w:rsidRDefault="00000000" w:rsidRPr="00000000" w14:paraId="0000003D">
      <w:pPr>
        <w:ind w:firstLine="708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Czytelny podpis </w:t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40" w:w="11907" w:orient="portrait"/>
      <w:pgMar w:bottom="1418" w:top="1135" w:left="1418" w:right="1418" w:header="720" w:footer="58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Georgia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Rule="auto"/>
      <w:jc w:val="right"/>
      <w:rPr>
        <w:rFonts w:ascii="Tahoma" w:cs="Tahoma" w:eastAsia="Tahoma" w:hAnsi="Tahoma"/>
        <w:color w:val="000000"/>
        <w:sz w:val="18"/>
        <w:szCs w:val="18"/>
      </w:rPr>
    </w:pPr>
    <w:r w:rsidDel="00000000" w:rsidR="00000000" w:rsidRPr="00000000">
      <w:rPr>
        <w:rFonts w:ascii="Arial" w:cs="Arial" w:eastAsia="Arial" w:hAnsi="Arial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line="240" w:lineRule="auto"/>
      <w:ind w:left="709" w:hanging="709"/>
      <w:jc w:val="both"/>
      <w:rPr>
        <w:rFonts w:ascii="Arial" w:cs="Arial" w:eastAsia="Arial" w:hAnsi="Arial"/>
        <w:color w:val="000000"/>
        <w:sz w:val="2"/>
        <w:szCs w:val="2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Rule="auto"/>
      <w:jc w:val="right"/>
      <w:rPr>
        <w:rFonts w:ascii="Arial" w:cs="Arial" w:eastAsia="Arial" w:hAnsi="Arial"/>
        <w:color w:val="000000"/>
        <w:sz w:val="18"/>
        <w:szCs w:val="18"/>
      </w:rPr>
    </w:pPr>
    <w:r w:rsidDel="00000000" w:rsidR="00000000" w:rsidRPr="00000000">
      <w:rPr>
        <w:rFonts w:ascii="Arial" w:cs="Arial" w:eastAsia="Arial" w:hAnsi="Arial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Rule="auto"/>
      <w:jc w:val="both"/>
      <w:rPr>
        <w:rFonts w:ascii="Arial" w:cs="Arial" w:eastAsia="Arial" w:hAnsi="Arial"/>
        <w:color w:val="000000"/>
        <w:sz w:val="18"/>
        <w:szCs w:val="18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E">
    <w:pPr>
      <w:spacing w:after="0" w:line="240" w:lineRule="auto"/>
      <w:jc w:val="center"/>
      <w:rPr>
        <w:rFonts w:ascii="Arial" w:cs="Arial" w:eastAsia="Arial" w:hAnsi="Arial"/>
        <w:i w:val="1"/>
        <w:iCs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</w:rPr>
      <w:drawing>
        <wp:inline distB="0" distT="0" distL="114300" distR="114300">
          <wp:extent cx="939800" cy="26670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39800" cy="266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Rule="auto"/>
      <w:jc w:val="right"/>
      <w:rPr>
        <w:rFonts w:ascii="Arial" w:cs="Arial" w:eastAsia="Arial" w:hAnsi="Arial"/>
        <w:color w:val="000000"/>
        <w:sz w:val="18"/>
        <w:szCs w:val="18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Rule="auto"/>
      <w:jc w:val="right"/>
      <w:rPr>
        <w:rFonts w:ascii="Arial" w:cs="Arial" w:eastAsia="Arial" w:hAnsi="Arial"/>
        <w:i w:val="1"/>
        <w:iCs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i w:val="1"/>
        <w:iCs w:val="1"/>
        <w:color w:val="000000"/>
        <w:sz w:val="20"/>
        <w:szCs w:val="20"/>
        <w:rtl w:val="0"/>
      </w:rPr>
      <w:t xml:space="preserve">Confidential</w:t>
    </w:r>
  </w:p>
  <w:p w:rsidR="00000000" w:rsidDel="00000000" w:rsidP="00000000" w:rsidRDefault="00000000" w:rsidRPr="00000000" w14:paraId="0000004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Rule="auto"/>
      <w:jc w:val="right"/>
      <w:rPr>
        <w:rFonts w:ascii="Arial" w:cs="Arial" w:eastAsia="Arial" w:hAnsi="Arial"/>
        <w:i w:val="1"/>
        <w:iCs w:val="1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120" w:before="120" w:lineRule="auto"/>
      <w:ind w:left="709" w:hanging="709"/>
      <w:jc w:val="both"/>
    </w:pPr>
    <w:rPr>
      <w:rFonts w:ascii="Arial" w:cs="Arial" w:eastAsia="Arial" w:hAnsi="Arial"/>
      <w:b w:val="1"/>
      <w:bCs w:val="1"/>
      <w:smallCaps w:val="1"/>
      <w:sz w:val="20"/>
      <w:szCs w:val="20"/>
    </w:rPr>
  </w:style>
  <w:style w:type="paragraph" w:styleId="Heading2">
    <w:name w:val="heading 2"/>
    <w:basedOn w:val="Normal"/>
    <w:next w:val="Normal"/>
    <w:pPr>
      <w:spacing w:after="120" w:before="120" w:lineRule="auto"/>
      <w:ind w:left="709" w:hanging="709"/>
      <w:jc w:val="both"/>
    </w:pPr>
    <w:rPr>
      <w:rFonts w:ascii="Arial" w:cs="Arial" w:eastAsia="Arial" w:hAnsi="Arial"/>
      <w:sz w:val="20"/>
      <w:szCs w:val="20"/>
    </w:rPr>
  </w:style>
  <w:style w:type="paragraph" w:styleId="Heading3">
    <w:name w:val="heading 3"/>
    <w:basedOn w:val="Normal"/>
    <w:next w:val="Normal"/>
    <w:pPr>
      <w:spacing w:after="120" w:before="120" w:lineRule="auto"/>
      <w:ind w:left="709" w:hanging="709"/>
      <w:jc w:val="both"/>
    </w:pPr>
    <w:rPr>
      <w:rFonts w:ascii="Arial" w:cs="Arial" w:eastAsia="Arial" w:hAnsi="Arial"/>
      <w:sz w:val="20"/>
      <w:szCs w:val="20"/>
    </w:rPr>
  </w:style>
  <w:style w:type="paragraph" w:styleId="Heading4">
    <w:name w:val="heading 4"/>
    <w:basedOn w:val="Normal"/>
    <w:next w:val="Normal"/>
    <w:pPr>
      <w:spacing w:after="120" w:before="120" w:lineRule="auto"/>
      <w:ind w:left="709" w:hanging="709"/>
      <w:jc w:val="both"/>
    </w:pPr>
    <w:rPr>
      <w:rFonts w:ascii="Arial" w:cs="Arial" w:eastAsia="Arial" w:hAnsi="Arial"/>
      <w:sz w:val="20"/>
      <w:szCs w:val="20"/>
    </w:rPr>
  </w:style>
  <w:style w:type="paragraph" w:styleId="Heading5">
    <w:name w:val="heading 5"/>
    <w:basedOn w:val="Normal"/>
    <w:next w:val="Normal"/>
    <w:pPr>
      <w:spacing w:after="120" w:before="120" w:lineRule="auto"/>
      <w:ind w:left="709" w:hanging="709"/>
      <w:jc w:val="both"/>
    </w:pPr>
    <w:rPr>
      <w:rFonts w:ascii="Arial" w:cs="Arial" w:eastAsia="Arial" w:hAnsi="Arial"/>
      <w:sz w:val="20"/>
      <w:szCs w:val="20"/>
    </w:rPr>
  </w:style>
  <w:style w:type="paragraph" w:styleId="Heading6">
    <w:name w:val="heading 6"/>
    <w:basedOn w:val="Normal"/>
    <w:next w:val="Normal"/>
    <w:pPr>
      <w:spacing w:after="120" w:before="120" w:lineRule="auto"/>
      <w:ind w:left="709" w:hanging="709"/>
      <w:jc w:val="both"/>
    </w:pPr>
    <w:rPr>
      <w:rFonts w:ascii="Arial" w:cs="Arial" w:eastAsia="Arial" w:hAnsi="Arial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U/0I32f2BaI3GAPGMyEFo8uhEA==">CgMxLjAyDmgubzJqdGJsZjdxbDd2OAByITE3ZUdoMmp6YUROVllnUWhoclVqWlFVVnlCMmpEZHRPeA==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